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2C77" w14:textId="63AC3D7E" w:rsidR="00823B14" w:rsidRPr="00CE111D" w:rsidRDefault="002E0895" w:rsidP="00823B14">
      <w:pPr>
        <w:spacing w:after="0"/>
        <w:ind w:left="170"/>
        <w:jc w:val="right"/>
        <w:rPr>
          <w:rFonts w:ascii="Calibri" w:hAnsi="Calibri"/>
          <w:sz w:val="18"/>
          <w:szCs w:val="18"/>
          <w:lang w:val="de-DE"/>
        </w:rPr>
      </w:pPr>
      <w:r w:rsidRPr="00CE111D">
        <w:rPr>
          <w:rFonts w:ascii="Calibri" w:hAnsi="Calibri"/>
          <w:noProof/>
          <w:sz w:val="18"/>
          <w:szCs w:val="18"/>
          <w:lang w:val="de-DE"/>
        </w:rPr>
        <w:drawing>
          <wp:inline distT="0" distB="0" distL="0" distR="0" wp14:anchorId="612CB525" wp14:editId="0E8C08AC">
            <wp:extent cx="2421467" cy="1362075"/>
            <wp:effectExtent l="0" t="0" r="0" b="0"/>
            <wp:docPr id="10513998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5306" cy="1364235"/>
                    </a:xfrm>
                    <a:prstGeom prst="rect">
                      <a:avLst/>
                    </a:prstGeom>
                    <a:noFill/>
                  </pic:spPr>
                </pic:pic>
              </a:graphicData>
            </a:graphic>
          </wp:inline>
        </w:drawing>
      </w:r>
    </w:p>
    <w:p w14:paraId="1AA3A1D9" w14:textId="77777777" w:rsidR="002E0895" w:rsidRPr="00CE111D" w:rsidRDefault="002E0895" w:rsidP="005F2F10">
      <w:pPr>
        <w:pStyle w:val="KeinLeerraum"/>
        <w:rPr>
          <w:rFonts w:ascii="Arial" w:hAnsi="Arial" w:cs="Arial"/>
          <w:b/>
          <w:bCs/>
          <w:sz w:val="18"/>
          <w:szCs w:val="18"/>
          <w:lang w:val="de-DE"/>
        </w:rPr>
      </w:pPr>
    </w:p>
    <w:p w14:paraId="012A20E2" w14:textId="77777777" w:rsidR="00195ADF" w:rsidRPr="00CE111D" w:rsidRDefault="00195ADF" w:rsidP="00195ADF">
      <w:pPr>
        <w:pStyle w:val="KeinLeerraum"/>
        <w:rPr>
          <w:rFonts w:ascii="Arial" w:hAnsi="Arial" w:cs="Arial"/>
          <w:b/>
          <w:bCs/>
          <w:sz w:val="18"/>
          <w:szCs w:val="18"/>
          <w:lang w:val="de-DE"/>
        </w:rPr>
      </w:pPr>
      <w:r w:rsidRPr="00CE111D">
        <w:rPr>
          <w:rFonts w:ascii="Arial" w:hAnsi="Arial" w:cs="Arial"/>
          <w:b/>
          <w:bCs/>
          <w:sz w:val="18"/>
          <w:szCs w:val="18"/>
          <w:lang w:val="de-DE"/>
        </w:rPr>
        <w:t>Wann genießen Architektenpläne Urheberrechtsschutz?</w:t>
      </w:r>
    </w:p>
    <w:p w14:paraId="42472406" w14:textId="77777777" w:rsidR="00195ADF" w:rsidRPr="00CE111D" w:rsidRDefault="00195ADF" w:rsidP="00195ADF">
      <w:pPr>
        <w:pStyle w:val="KeinLeerraum"/>
        <w:rPr>
          <w:rFonts w:ascii="Arial" w:hAnsi="Arial" w:cs="Arial"/>
          <w:sz w:val="18"/>
          <w:szCs w:val="18"/>
          <w:lang w:val="de-DE"/>
        </w:rPr>
      </w:pPr>
    </w:p>
    <w:p w14:paraId="661828AF" w14:textId="77777777" w:rsidR="00195ADF" w:rsidRPr="00CE111D" w:rsidRDefault="00195ADF" w:rsidP="00195ADF">
      <w:pPr>
        <w:pStyle w:val="KeinLeerraum"/>
        <w:rPr>
          <w:rFonts w:ascii="Arial" w:hAnsi="Arial" w:cs="Arial"/>
          <w:sz w:val="18"/>
          <w:szCs w:val="18"/>
          <w:lang w:val="de-DE"/>
        </w:rPr>
      </w:pPr>
      <w:r w:rsidRPr="00CE111D">
        <w:rPr>
          <w:rFonts w:ascii="Arial" w:hAnsi="Arial" w:cs="Arial"/>
          <w:sz w:val="18"/>
          <w:szCs w:val="18"/>
          <w:lang w:val="de-DE"/>
        </w:rPr>
        <w:t xml:space="preserve">OLG Braunschweig, Urteil vom 28.04.2026 - 2 U 64/25 UrhG § 2 Abs. 1 Nr. 4, </w:t>
      </w:r>
    </w:p>
    <w:p w14:paraId="483C1BFF" w14:textId="3E3DDB70" w:rsidR="00195ADF" w:rsidRPr="00CE111D" w:rsidRDefault="00195ADF" w:rsidP="00195ADF">
      <w:pPr>
        <w:pStyle w:val="KeinLeerraum"/>
        <w:rPr>
          <w:rFonts w:ascii="Arial" w:hAnsi="Arial" w:cs="Arial"/>
          <w:sz w:val="18"/>
          <w:szCs w:val="18"/>
          <w:lang w:val="de-DE"/>
        </w:rPr>
      </w:pPr>
      <w:r w:rsidRPr="00CE111D">
        <w:rPr>
          <w:rFonts w:ascii="Arial" w:hAnsi="Arial" w:cs="Arial"/>
          <w:sz w:val="18"/>
          <w:szCs w:val="18"/>
          <w:lang w:val="de-DE"/>
        </w:rPr>
        <w:t>§ 2 Abs. 2; ZPO § 322 Abs. 1</w:t>
      </w:r>
    </w:p>
    <w:p w14:paraId="450AF1AF" w14:textId="77777777" w:rsidR="00195ADF" w:rsidRPr="00CE111D" w:rsidRDefault="00195ADF" w:rsidP="00195ADF">
      <w:pPr>
        <w:pStyle w:val="KeinLeerraum"/>
        <w:rPr>
          <w:rFonts w:ascii="Arial" w:hAnsi="Arial" w:cs="Arial"/>
          <w:sz w:val="18"/>
          <w:szCs w:val="18"/>
          <w:lang w:val="de-DE"/>
        </w:rPr>
      </w:pPr>
    </w:p>
    <w:p w14:paraId="4FE6A908" w14:textId="77777777" w:rsidR="00195ADF" w:rsidRPr="00CE111D" w:rsidRDefault="00195ADF" w:rsidP="00195ADF">
      <w:pPr>
        <w:pStyle w:val="KeinLeerraum"/>
        <w:rPr>
          <w:rFonts w:ascii="Arial" w:hAnsi="Arial" w:cs="Arial"/>
          <w:sz w:val="18"/>
          <w:szCs w:val="18"/>
          <w:lang w:val="de-DE"/>
        </w:rPr>
      </w:pPr>
      <w:r w:rsidRPr="00CE111D">
        <w:rPr>
          <w:rFonts w:ascii="Arial" w:hAnsi="Arial" w:cs="Arial"/>
          <w:sz w:val="18"/>
          <w:szCs w:val="18"/>
          <w:lang w:val="de-DE"/>
        </w:rPr>
        <w:t xml:space="preserve">   </w:t>
      </w:r>
    </w:p>
    <w:p w14:paraId="210E5387" w14:textId="77777777" w:rsidR="00195ADF" w:rsidRPr="00CE111D" w:rsidRDefault="00195ADF" w:rsidP="00195ADF">
      <w:pPr>
        <w:pStyle w:val="KeinLeerraum"/>
        <w:rPr>
          <w:rFonts w:ascii="Arial" w:hAnsi="Arial" w:cs="Arial"/>
          <w:sz w:val="18"/>
          <w:szCs w:val="18"/>
          <w:lang w:val="de-DE"/>
        </w:rPr>
      </w:pPr>
      <w:r w:rsidRPr="00CE111D">
        <w:rPr>
          <w:rFonts w:ascii="Arial" w:hAnsi="Arial" w:cs="Arial"/>
          <w:sz w:val="18"/>
          <w:szCs w:val="18"/>
          <w:lang w:val="de-DE"/>
        </w:rPr>
        <w:t xml:space="preserve">1. Architektenpläne sind als Entwürfe und damit Vorstufe eines Werks der bildenden Künste nach § 2 Abs. 1 Nr. 4 UrhG geschützt, sofern sie die dafür nötige Originalität aufweisen, d.h. bereits die freien und kreativen Entscheidungen des Urhebers zum Ausdruck bringen, die das Bauwerk als einzigartiges Werk erscheinen lassen und es so als persönliche geistige Schöpfung i.S.v. § 2 Abs. 2 UrhG qualifizieren (Anschluss an EuGH, Urteil vom 04.12.2015 - </w:t>
      </w:r>
      <w:proofErr w:type="spellStart"/>
      <w:r w:rsidRPr="00CE111D">
        <w:rPr>
          <w:rFonts w:ascii="Arial" w:hAnsi="Arial" w:cs="Arial"/>
          <w:sz w:val="18"/>
          <w:szCs w:val="18"/>
          <w:lang w:val="de-DE"/>
        </w:rPr>
        <w:t>Rs</w:t>
      </w:r>
      <w:proofErr w:type="spellEnd"/>
      <w:r w:rsidRPr="00CE111D">
        <w:rPr>
          <w:rFonts w:ascii="Arial" w:hAnsi="Arial" w:cs="Arial"/>
          <w:sz w:val="18"/>
          <w:szCs w:val="18"/>
          <w:lang w:val="de-DE"/>
        </w:rPr>
        <w:t xml:space="preserve">. C-580/23, </w:t>
      </w:r>
      <w:proofErr w:type="spellStart"/>
      <w:r w:rsidRPr="00CE111D">
        <w:rPr>
          <w:rFonts w:ascii="Arial" w:hAnsi="Arial" w:cs="Arial"/>
          <w:sz w:val="18"/>
          <w:szCs w:val="18"/>
          <w:lang w:val="de-DE"/>
        </w:rPr>
        <w:t>Rs</w:t>
      </w:r>
      <w:proofErr w:type="spellEnd"/>
      <w:r w:rsidRPr="00CE111D">
        <w:rPr>
          <w:rFonts w:ascii="Arial" w:hAnsi="Arial" w:cs="Arial"/>
          <w:sz w:val="18"/>
          <w:szCs w:val="18"/>
          <w:lang w:val="de-DE"/>
        </w:rPr>
        <w:t xml:space="preserve">. C- 795/23 - </w:t>
      </w:r>
      <w:proofErr w:type="spellStart"/>
      <w:r w:rsidRPr="00CE111D">
        <w:rPr>
          <w:rFonts w:ascii="Arial" w:hAnsi="Arial" w:cs="Arial"/>
          <w:sz w:val="18"/>
          <w:szCs w:val="18"/>
          <w:lang w:val="de-DE"/>
        </w:rPr>
        <w:t>Mio</w:t>
      </w:r>
      <w:proofErr w:type="spellEnd"/>
      <w:r w:rsidRPr="00CE111D">
        <w:rPr>
          <w:rFonts w:ascii="Arial" w:hAnsi="Arial" w:cs="Arial"/>
          <w:sz w:val="18"/>
          <w:szCs w:val="18"/>
          <w:lang w:val="de-DE"/>
        </w:rPr>
        <w:t xml:space="preserve"> und </w:t>
      </w:r>
      <w:proofErr w:type="spellStart"/>
      <w:r w:rsidRPr="00CE111D">
        <w:rPr>
          <w:rFonts w:ascii="Arial" w:hAnsi="Arial" w:cs="Arial"/>
          <w:sz w:val="18"/>
          <w:szCs w:val="18"/>
          <w:lang w:val="de-DE"/>
        </w:rPr>
        <w:t>konektra</w:t>
      </w:r>
      <w:proofErr w:type="spellEnd"/>
      <w:r w:rsidRPr="00CE111D">
        <w:rPr>
          <w:rFonts w:ascii="Arial" w:hAnsi="Arial" w:cs="Arial"/>
          <w:sz w:val="18"/>
          <w:szCs w:val="18"/>
          <w:lang w:val="de-DE"/>
        </w:rPr>
        <w:t>).*)</w:t>
      </w:r>
    </w:p>
    <w:p w14:paraId="3DA734FD" w14:textId="77777777" w:rsidR="00195ADF" w:rsidRPr="00CE111D" w:rsidRDefault="00195ADF" w:rsidP="00195ADF">
      <w:pPr>
        <w:pStyle w:val="KeinLeerraum"/>
        <w:rPr>
          <w:rFonts w:ascii="Arial" w:hAnsi="Arial" w:cs="Arial"/>
          <w:sz w:val="18"/>
          <w:szCs w:val="18"/>
          <w:lang w:val="de-DE"/>
        </w:rPr>
      </w:pPr>
      <w:r w:rsidRPr="00CE111D">
        <w:rPr>
          <w:rFonts w:ascii="Arial" w:hAnsi="Arial" w:cs="Arial"/>
          <w:sz w:val="18"/>
          <w:szCs w:val="18"/>
          <w:lang w:val="de-DE"/>
        </w:rPr>
        <w:t xml:space="preserve">2. Die Stattgabe einer negativen Feststellungsklage, mit welcher das Nichtbestehen urheberrechtlicher Verletzungsansprüche des Architekten festgestellt werden soll, die auf eine andere Planung gestützt werden, erfolgt auch dann nicht mit dem Zusatz "derzeit", wenn eine spätere Verletzung des Urheberrechts durch die erst noch abzuwartende eigentliche Bauausführung möglich erscheint (Abgrenzung von BGH, Urteil vom 09.06.2022 - III ZR 24/21, </w:t>
      </w:r>
      <w:proofErr w:type="spellStart"/>
      <w:r w:rsidRPr="00CE111D">
        <w:rPr>
          <w:rFonts w:ascii="Arial" w:hAnsi="Arial" w:cs="Arial"/>
          <w:sz w:val="18"/>
          <w:szCs w:val="18"/>
          <w:lang w:val="de-DE"/>
        </w:rPr>
        <w:t>Rz</w:t>
      </w:r>
      <w:proofErr w:type="spellEnd"/>
      <w:r w:rsidRPr="00CE111D">
        <w:rPr>
          <w:rFonts w:ascii="Arial" w:hAnsi="Arial" w:cs="Arial"/>
          <w:sz w:val="18"/>
          <w:szCs w:val="18"/>
          <w:lang w:val="de-DE"/>
        </w:rPr>
        <w:t xml:space="preserve">. 23 ff., IBRRS 2022, 2270, und Urteil vom 09.12.2022 - V ZR 72/21, </w:t>
      </w:r>
      <w:proofErr w:type="spellStart"/>
      <w:r w:rsidRPr="00CE111D">
        <w:rPr>
          <w:rFonts w:ascii="Arial" w:hAnsi="Arial" w:cs="Arial"/>
          <w:sz w:val="18"/>
          <w:szCs w:val="18"/>
          <w:lang w:val="de-DE"/>
        </w:rPr>
        <w:t>Rz</w:t>
      </w:r>
      <w:proofErr w:type="spellEnd"/>
      <w:r w:rsidRPr="00CE111D">
        <w:rPr>
          <w:rFonts w:ascii="Arial" w:hAnsi="Arial" w:cs="Arial"/>
          <w:sz w:val="18"/>
          <w:szCs w:val="18"/>
          <w:lang w:val="de-DE"/>
        </w:rPr>
        <w:t>. 11 ff., IBRRS 2023, 0579).*)</w:t>
      </w:r>
    </w:p>
    <w:p w14:paraId="52A8AAAC" w14:textId="77777777" w:rsidR="00195ADF" w:rsidRPr="00CE111D" w:rsidRDefault="00195ADF" w:rsidP="00195ADF">
      <w:pPr>
        <w:pStyle w:val="KeinLeerraum"/>
        <w:rPr>
          <w:rFonts w:ascii="Arial" w:hAnsi="Arial" w:cs="Arial"/>
          <w:sz w:val="18"/>
          <w:szCs w:val="18"/>
          <w:lang w:val="de-DE"/>
        </w:rPr>
      </w:pPr>
    </w:p>
    <w:p w14:paraId="32229062" w14:textId="77777777" w:rsidR="00CE111D" w:rsidRPr="00CE111D" w:rsidRDefault="00CE111D" w:rsidP="00CE111D">
      <w:pPr>
        <w:pStyle w:val="KeinLeerraum"/>
        <w:rPr>
          <w:rFonts w:ascii="Arial" w:hAnsi="Arial" w:cs="Arial"/>
          <w:b/>
          <w:bCs/>
          <w:sz w:val="18"/>
          <w:szCs w:val="18"/>
          <w:lang w:val="de-DE"/>
        </w:rPr>
      </w:pPr>
      <w:r w:rsidRPr="00CE111D">
        <w:rPr>
          <w:rFonts w:ascii="Arial" w:hAnsi="Arial" w:cs="Arial"/>
          <w:b/>
          <w:bCs/>
          <w:sz w:val="18"/>
          <w:szCs w:val="18"/>
          <w:lang w:val="de-DE"/>
        </w:rPr>
        <w:t>Problem/Sachverhalt</w:t>
      </w:r>
    </w:p>
    <w:p w14:paraId="7309D7F0" w14:textId="77777777" w:rsidR="00CE111D" w:rsidRP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Die Parteien streiten über Urheberrechtsverletzungen einer Architektenplanung. Der Bauherr (B) hat ein Grundstücksareal "Burgpassage" erworben und will dies neu bebauen. Der beklagte Architekt (A) wird dafür planerisch tätig. Er beansprucht ein Urheberrecht an seiner Planung, in dem er sich von B verletzt sieht. B verlangte deshalb die negative Feststellung, dass dem A keine gegen ihn gerichteten Ansprüche wegen der Verletzung von Urheberrechten zustünden. Widerklagend hat A die Feststellung beantragt, dass es sich bei seinen Planungen um ein schutzfähiges Werk gem. § 2 Abs. 1 Nr. 4 und 7 UrhG handle. Das LG Braunschweig gab der Klage "derzeit" zum Teil statt, ebenfalls der Widerklage, weil die Planung ein schutzfähiges Werk gem. § 2 Abs. 1 Nr. 4 UrhG darstelle. Das greift B mit seiner Berufung an.</w:t>
      </w:r>
    </w:p>
    <w:p w14:paraId="5BAE184F" w14:textId="77777777" w:rsidR="00CE111D" w:rsidRPr="00CE111D" w:rsidRDefault="00CE111D" w:rsidP="00CE111D">
      <w:pPr>
        <w:pStyle w:val="KeinLeerraum"/>
        <w:rPr>
          <w:rFonts w:ascii="Arial" w:hAnsi="Arial" w:cs="Arial"/>
          <w:sz w:val="18"/>
          <w:szCs w:val="18"/>
          <w:lang w:val="de-DE"/>
        </w:rPr>
      </w:pPr>
    </w:p>
    <w:p w14:paraId="40E76DEF" w14:textId="77777777" w:rsidR="00CE111D" w:rsidRPr="00CE111D" w:rsidRDefault="00CE111D" w:rsidP="00CE111D">
      <w:pPr>
        <w:pStyle w:val="KeinLeerraum"/>
        <w:rPr>
          <w:rFonts w:ascii="Arial" w:hAnsi="Arial" w:cs="Arial"/>
          <w:b/>
          <w:bCs/>
          <w:sz w:val="18"/>
          <w:szCs w:val="18"/>
          <w:lang w:val="de-DE"/>
        </w:rPr>
      </w:pPr>
      <w:r w:rsidRPr="00CE111D">
        <w:rPr>
          <w:rFonts w:ascii="Arial" w:hAnsi="Arial" w:cs="Arial"/>
          <w:b/>
          <w:bCs/>
          <w:sz w:val="18"/>
          <w:szCs w:val="18"/>
          <w:lang w:val="de-DE"/>
        </w:rPr>
        <w:t>Entscheidung</w:t>
      </w:r>
    </w:p>
    <w:p w14:paraId="09713E7F" w14:textId="77777777" w:rsidR="00CE111D" w:rsidRP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Mit Erfolg, soweit es die Urheberrechtsverletzung betrifft! A hat ein schützenswertes rechtliches Interesse an der Feststellung des Bestehens eines durch die von ihm erstellten Bauplanungen geschaffenen Urheberrechts, also eines absoluten Rechts. B, der das von A überplante Areal der "Burgpassage" bebauen wird, hat das Recht des A in der Vergangenheit ernstlich bestritten, so dass dem Urheberrecht des A eine gegenwärtige Gefahr der Unsicherheit durch möglicherweise bevorstehende Rechtsverletzungen droht, die das von A angestrebte Urteil zu beseitigen geeignet ist. Das Verhalten des B konnte vom maßgeblichen Empfängerhorizont des A nur dahingehend verstanden werden, dass B seinen Planungen die urheberrechtliche Schutzfähigkeit absprechen wollte.</w:t>
      </w:r>
    </w:p>
    <w:p w14:paraId="58774B5A" w14:textId="77777777" w:rsidR="00CE111D" w:rsidRPr="00CE111D" w:rsidRDefault="00CE111D" w:rsidP="00CE111D">
      <w:pPr>
        <w:pStyle w:val="KeinLeerraum"/>
        <w:rPr>
          <w:rFonts w:ascii="Arial" w:hAnsi="Arial" w:cs="Arial"/>
          <w:sz w:val="18"/>
          <w:szCs w:val="18"/>
          <w:lang w:val="de-DE"/>
        </w:rPr>
      </w:pPr>
    </w:p>
    <w:p w14:paraId="236C0634"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Richtig ist zwar, dass bloße Vorstellungen von einem Werk ebenso wenig schutzfähig sind wie bloße</w:t>
      </w:r>
    </w:p>
    <w:p w14:paraId="795B51F0" w14:textId="5F31F28D"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 xml:space="preserve">Ideen, solange sie noch keine konkrete Form gefunden haben (vgl. EuGH, Urteil vom 04.12.2015 </w:t>
      </w:r>
      <w:r>
        <w:rPr>
          <w:rFonts w:ascii="Arial" w:hAnsi="Arial" w:cs="Arial"/>
          <w:sz w:val="18"/>
          <w:szCs w:val="18"/>
          <w:lang w:val="de-DE"/>
        </w:rPr>
        <w:t>–</w:t>
      </w:r>
      <w:r w:rsidRPr="00CE111D">
        <w:rPr>
          <w:rFonts w:ascii="Arial" w:hAnsi="Arial" w:cs="Arial"/>
          <w:sz w:val="18"/>
          <w:szCs w:val="18"/>
          <w:lang w:val="de-DE"/>
        </w:rPr>
        <w:t xml:space="preserve"> </w:t>
      </w:r>
    </w:p>
    <w:p w14:paraId="2DEF03F6" w14:textId="77777777" w:rsidR="00CE111D" w:rsidRDefault="00CE111D" w:rsidP="00CE111D">
      <w:pPr>
        <w:pStyle w:val="KeinLeerraum"/>
        <w:rPr>
          <w:rFonts w:ascii="Arial" w:hAnsi="Arial" w:cs="Arial"/>
          <w:sz w:val="18"/>
          <w:szCs w:val="18"/>
          <w:lang w:val="de-DE"/>
        </w:rPr>
      </w:pPr>
      <w:proofErr w:type="spellStart"/>
      <w:r w:rsidRPr="00CE111D">
        <w:rPr>
          <w:rFonts w:ascii="Arial" w:hAnsi="Arial" w:cs="Arial"/>
          <w:sz w:val="18"/>
          <w:szCs w:val="18"/>
          <w:lang w:val="de-DE"/>
        </w:rPr>
        <w:t>Rs</w:t>
      </w:r>
      <w:proofErr w:type="spellEnd"/>
      <w:r w:rsidRPr="00CE111D">
        <w:rPr>
          <w:rFonts w:ascii="Arial" w:hAnsi="Arial" w:cs="Arial"/>
          <w:sz w:val="18"/>
          <w:szCs w:val="18"/>
          <w:lang w:val="de-DE"/>
        </w:rPr>
        <w:t xml:space="preserve">. C-580/23, </w:t>
      </w:r>
      <w:proofErr w:type="spellStart"/>
      <w:r w:rsidRPr="00CE111D">
        <w:rPr>
          <w:rFonts w:ascii="Arial" w:hAnsi="Arial" w:cs="Arial"/>
          <w:sz w:val="18"/>
          <w:szCs w:val="18"/>
          <w:lang w:val="de-DE"/>
        </w:rPr>
        <w:t>Rs</w:t>
      </w:r>
      <w:proofErr w:type="spellEnd"/>
      <w:r w:rsidRPr="00CE111D">
        <w:rPr>
          <w:rFonts w:ascii="Arial" w:hAnsi="Arial" w:cs="Arial"/>
          <w:sz w:val="18"/>
          <w:szCs w:val="18"/>
          <w:lang w:val="de-DE"/>
        </w:rPr>
        <w:t xml:space="preserve">. C-795/23 = GRUR 2026, 72, </w:t>
      </w:r>
      <w:proofErr w:type="spellStart"/>
      <w:r w:rsidRPr="00CE111D">
        <w:rPr>
          <w:rFonts w:ascii="Arial" w:hAnsi="Arial" w:cs="Arial"/>
          <w:sz w:val="18"/>
          <w:szCs w:val="18"/>
          <w:lang w:val="de-DE"/>
        </w:rPr>
        <w:t>Rz</w:t>
      </w:r>
      <w:proofErr w:type="spellEnd"/>
      <w:r w:rsidRPr="00CE111D">
        <w:rPr>
          <w:rFonts w:ascii="Arial" w:hAnsi="Arial" w:cs="Arial"/>
          <w:sz w:val="18"/>
          <w:szCs w:val="18"/>
          <w:lang w:val="de-DE"/>
        </w:rPr>
        <w:t xml:space="preserve">. 64 - </w:t>
      </w:r>
      <w:proofErr w:type="spellStart"/>
      <w:r w:rsidRPr="00CE111D">
        <w:rPr>
          <w:rFonts w:ascii="Arial" w:hAnsi="Arial" w:cs="Arial"/>
          <w:sz w:val="18"/>
          <w:szCs w:val="18"/>
          <w:lang w:val="de-DE"/>
        </w:rPr>
        <w:t>Mio</w:t>
      </w:r>
      <w:proofErr w:type="spellEnd"/>
      <w:r w:rsidRPr="00CE111D">
        <w:rPr>
          <w:rFonts w:ascii="Arial" w:hAnsi="Arial" w:cs="Arial"/>
          <w:sz w:val="18"/>
          <w:szCs w:val="18"/>
          <w:lang w:val="de-DE"/>
        </w:rPr>
        <w:t xml:space="preserve"> und </w:t>
      </w:r>
      <w:proofErr w:type="spellStart"/>
      <w:r w:rsidRPr="00CE111D">
        <w:rPr>
          <w:rFonts w:ascii="Arial" w:hAnsi="Arial" w:cs="Arial"/>
          <w:sz w:val="18"/>
          <w:szCs w:val="18"/>
          <w:lang w:val="de-DE"/>
        </w:rPr>
        <w:t>konektra</w:t>
      </w:r>
      <w:proofErr w:type="spellEnd"/>
      <w:r w:rsidRPr="00CE111D">
        <w:rPr>
          <w:rFonts w:ascii="Arial" w:hAnsi="Arial" w:cs="Arial"/>
          <w:sz w:val="18"/>
          <w:szCs w:val="18"/>
          <w:lang w:val="de-DE"/>
        </w:rPr>
        <w:t>; BGH, Urteil vom 01.12.2010</w:t>
      </w:r>
    </w:p>
    <w:p w14:paraId="100832AE"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 xml:space="preserve">- I ZR 12/08, </w:t>
      </w:r>
      <w:proofErr w:type="spellStart"/>
      <w:r w:rsidRPr="00CE111D">
        <w:rPr>
          <w:rFonts w:ascii="Arial" w:hAnsi="Arial" w:cs="Arial"/>
          <w:sz w:val="18"/>
          <w:szCs w:val="18"/>
          <w:lang w:val="de-DE"/>
        </w:rPr>
        <w:t>Rz</w:t>
      </w:r>
      <w:proofErr w:type="spellEnd"/>
      <w:r w:rsidRPr="00CE111D">
        <w:rPr>
          <w:rFonts w:ascii="Arial" w:hAnsi="Arial" w:cs="Arial"/>
          <w:sz w:val="18"/>
          <w:szCs w:val="18"/>
          <w:lang w:val="de-DE"/>
        </w:rPr>
        <w:t xml:space="preserve">. 36, IBRRS 2011, 0038 = GRUR 2011, 134 - Perlentaucher). </w:t>
      </w:r>
    </w:p>
    <w:p w14:paraId="2A0EAC37"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 xml:space="preserve">A hat seine "Ideen" jedoch konzeptionell umgesetzt und in der Kommunikation mit B keinen Zweifel </w:t>
      </w:r>
    </w:p>
    <w:p w14:paraId="4095BE69"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 xml:space="preserve">daran gelassen, dass die Ideen durch seine Planung bereits konkrete Gestalt angenommen hatten. </w:t>
      </w:r>
    </w:p>
    <w:p w14:paraId="3876999D"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 xml:space="preserve">Gleichwohl hat B den urheberrechtlichen Schutz einer solchen Planung des A gegenüber in Abrede </w:t>
      </w:r>
    </w:p>
    <w:p w14:paraId="69C0D826"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genommen, indem er nicht nur erklärt hat, die Ideen des A seien nicht geschützt, sondern sich ebenfalls</w:t>
      </w:r>
    </w:p>
    <w:p w14:paraId="7392A4E4" w14:textId="263107B1" w:rsidR="00CE111D" w:rsidRP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auf dessen Planung generell bezogen hat.</w:t>
      </w:r>
    </w:p>
    <w:p w14:paraId="5BCCBFEE" w14:textId="77777777" w:rsidR="00CE111D" w:rsidRPr="00CE111D" w:rsidRDefault="00CE111D" w:rsidP="00CE111D">
      <w:pPr>
        <w:pStyle w:val="KeinLeerraum"/>
        <w:rPr>
          <w:rFonts w:ascii="Arial" w:hAnsi="Arial" w:cs="Arial"/>
          <w:sz w:val="18"/>
          <w:szCs w:val="18"/>
          <w:lang w:val="de-DE"/>
        </w:rPr>
      </w:pPr>
    </w:p>
    <w:p w14:paraId="58EBE61A" w14:textId="77777777" w:rsidR="00CE111D" w:rsidRP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Praxishinweis</w:t>
      </w:r>
    </w:p>
    <w:p w14:paraId="35F69085" w14:textId="77777777" w:rsid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Das Urteil enthält zudem wesentliche Ausführungen zur Klageabweisung als "derzeit" unbegründet</w:t>
      </w:r>
    </w:p>
    <w:p w14:paraId="443EC95F" w14:textId="4F1320C6" w:rsidR="00195ADF" w:rsidRPr="00CE111D" w:rsidRDefault="00CE111D" w:rsidP="00CE111D">
      <w:pPr>
        <w:pStyle w:val="KeinLeerraum"/>
        <w:rPr>
          <w:rFonts w:ascii="Arial" w:hAnsi="Arial" w:cs="Arial"/>
          <w:sz w:val="18"/>
          <w:szCs w:val="18"/>
          <w:lang w:val="de-DE"/>
        </w:rPr>
      </w:pPr>
      <w:r w:rsidRPr="00CE111D">
        <w:rPr>
          <w:rFonts w:ascii="Arial" w:hAnsi="Arial" w:cs="Arial"/>
          <w:sz w:val="18"/>
          <w:szCs w:val="18"/>
          <w:lang w:val="de-DE"/>
        </w:rPr>
        <w:t>(vgl. Leitsatz 2).</w:t>
      </w:r>
    </w:p>
    <w:sectPr w:rsidR="00195ADF" w:rsidRPr="00CE111D" w:rsidSect="00FB7779">
      <w:headerReference w:type="default" r:id="rId7"/>
      <w:headerReference w:type="first" r:id="rId8"/>
      <w:pgSz w:w="11900" w:h="16840"/>
      <w:pgMar w:top="2875" w:right="1418" w:bottom="567" w:left="1077"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C0531" w14:textId="77777777" w:rsidR="003D773B" w:rsidRDefault="003D773B">
      <w:pPr>
        <w:spacing w:after="0"/>
      </w:pPr>
      <w:r>
        <w:separator/>
      </w:r>
    </w:p>
  </w:endnote>
  <w:endnote w:type="continuationSeparator" w:id="0">
    <w:p w14:paraId="6BB54FFD" w14:textId="77777777" w:rsidR="003D773B" w:rsidRDefault="003D77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C444" w14:textId="77777777" w:rsidR="003D773B" w:rsidRDefault="003D773B">
      <w:pPr>
        <w:spacing w:after="0"/>
      </w:pPr>
      <w:r>
        <w:separator/>
      </w:r>
    </w:p>
  </w:footnote>
  <w:footnote w:type="continuationSeparator" w:id="0">
    <w:p w14:paraId="26066560" w14:textId="77777777" w:rsidR="003D773B" w:rsidRDefault="003D77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6562" w14:textId="7BFEEB83" w:rsidR="001728C2" w:rsidRDefault="00823B14">
    <w:pPr>
      <w:pStyle w:val="Kopfzeile"/>
    </w:pPr>
    <w:r>
      <w:rPr>
        <w:noProof/>
        <w:lang w:val="de-DE" w:eastAsia="de-DE"/>
      </w:rPr>
      <mc:AlternateContent>
        <mc:Choice Requires="wps">
          <w:drawing>
            <wp:anchor distT="0" distB="0" distL="114300" distR="114300" simplePos="0" relativeHeight="251657216" behindDoc="1" locked="0" layoutInCell="1" allowOverlap="1" wp14:anchorId="7121129C" wp14:editId="09D64417">
              <wp:simplePos x="0" y="0"/>
              <wp:positionH relativeFrom="column">
                <wp:posOffset>-683895</wp:posOffset>
              </wp:positionH>
              <wp:positionV relativeFrom="paragraph">
                <wp:posOffset>-493395</wp:posOffset>
              </wp:positionV>
              <wp:extent cx="7560945" cy="10693400"/>
              <wp:effectExtent l="1905" t="1905" r="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E41D1" w14:textId="70F4B559" w:rsidR="001728C2" w:rsidRDefault="00823B14">
                          <w:r>
                            <w:rPr>
                              <w:noProof/>
                            </w:rPr>
                            <w:drawing>
                              <wp:inline distT="0" distB="0" distL="0" distR="0" wp14:anchorId="2E5B5966" wp14:editId="642EC2D1">
                                <wp:extent cx="7562850" cy="10696575"/>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1129C" id="_x0000_t202" coordsize="21600,21600" o:spt="202" path="m,l,21600r21600,l21600,xe">
              <v:stroke joinstyle="miter"/>
              <v:path gradientshapeok="t" o:connecttype="rect"/>
            </v:shapetype>
            <v:shape id="Text Box 9" o:spid="_x0000_s1026" type="#_x0000_t202" style="position:absolute;margin-left:-53.85pt;margin-top:-38.85pt;width:595.35pt;height:8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" filled="f" stroked="f">
              <v:textbox inset="0,0,0,0">
                <w:txbxContent>
                  <w:p w14:paraId="092E41D1" w14:textId="70F4B559" w:rsidR="001728C2" w:rsidRDefault="00823B14">
                    <w:r>
                      <w:rPr>
                        <w:noProof/>
                      </w:rPr>
                      <w:drawing>
                        <wp:inline distT="0" distB="0" distL="0" distR="0" wp14:anchorId="2E5B5966" wp14:editId="642EC2D1">
                          <wp:extent cx="7562850" cy="10696575"/>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5760" w14:textId="7358129D" w:rsidR="001728C2" w:rsidRDefault="00823B14">
    <w:pPr>
      <w:pStyle w:val="Kopfzeile"/>
    </w:pPr>
    <w:r>
      <w:rPr>
        <w:noProof/>
        <w:lang w:val="de-DE" w:eastAsia="de-DE"/>
      </w:rPr>
      <mc:AlternateContent>
        <mc:Choice Requires="wps">
          <w:drawing>
            <wp:anchor distT="0" distB="0" distL="114300" distR="114300" simplePos="0" relativeHeight="251658240" behindDoc="1" locked="0" layoutInCell="1" allowOverlap="1" wp14:anchorId="1CD3ECC0" wp14:editId="77EDA822">
              <wp:simplePos x="0" y="0"/>
              <wp:positionH relativeFrom="column">
                <wp:posOffset>-683895</wp:posOffset>
              </wp:positionH>
              <wp:positionV relativeFrom="paragraph">
                <wp:posOffset>-493395</wp:posOffset>
              </wp:positionV>
              <wp:extent cx="7560945" cy="10693400"/>
              <wp:effectExtent l="1905" t="1905" r="0" b="127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3A70B" w14:textId="272EC390" w:rsidR="001728C2" w:rsidRDefault="00823B14">
                          <w:r>
                            <w:rPr>
                              <w:noProof/>
                            </w:rPr>
                            <w:drawing>
                              <wp:inline distT="0" distB="0" distL="0" distR="0" wp14:anchorId="01817533" wp14:editId="7AFF1753">
                                <wp:extent cx="7562850" cy="10696575"/>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3ECC0" id="_x0000_t202" coordsize="21600,21600" o:spt="202" path="m,l,21600r21600,l21600,xe">
              <v:stroke joinstyle="miter"/>
              <v:path gradientshapeok="t" o:connecttype="rect"/>
            </v:shapetype>
            <v:shape id="Text Box 12" o:spid="_x0000_s1027" type="#_x0000_t202" style="position:absolute;margin-left:-53.85pt;margin-top:-38.85pt;width:595.35pt;height:8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" filled="f" stroked="f">
              <v:textbox inset="0,0,0,0">
                <w:txbxContent>
                  <w:p w14:paraId="5EE3A70B" w14:textId="272EC390" w:rsidR="001728C2" w:rsidRDefault="00823B14">
                    <w:r>
                      <w:rPr>
                        <w:noProof/>
                      </w:rPr>
                      <w:drawing>
                        <wp:inline distT="0" distB="0" distL="0" distR="0" wp14:anchorId="01817533" wp14:editId="7AFF1753">
                          <wp:extent cx="7562850" cy="10696575"/>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2C"/>
    <w:rsid w:val="0002088F"/>
    <w:rsid w:val="000267C4"/>
    <w:rsid w:val="00030B91"/>
    <w:rsid w:val="00040420"/>
    <w:rsid w:val="0004452A"/>
    <w:rsid w:val="00052294"/>
    <w:rsid w:val="00060F60"/>
    <w:rsid w:val="00061135"/>
    <w:rsid w:val="00077BB9"/>
    <w:rsid w:val="0009493F"/>
    <w:rsid w:val="000A3660"/>
    <w:rsid w:val="000B003F"/>
    <w:rsid w:val="000B1978"/>
    <w:rsid w:val="000B1C66"/>
    <w:rsid w:val="000B788D"/>
    <w:rsid w:val="000C4489"/>
    <w:rsid w:val="000E53C2"/>
    <w:rsid w:val="000F7236"/>
    <w:rsid w:val="00107E38"/>
    <w:rsid w:val="001404E8"/>
    <w:rsid w:val="001464E7"/>
    <w:rsid w:val="00172697"/>
    <w:rsid w:val="001728C2"/>
    <w:rsid w:val="00180784"/>
    <w:rsid w:val="0019037C"/>
    <w:rsid w:val="00195ADF"/>
    <w:rsid w:val="001A1B33"/>
    <w:rsid w:val="001A6187"/>
    <w:rsid w:val="001B5874"/>
    <w:rsid w:val="001C6818"/>
    <w:rsid w:val="001D059E"/>
    <w:rsid w:val="001D56E5"/>
    <w:rsid w:val="002001F7"/>
    <w:rsid w:val="0021562A"/>
    <w:rsid w:val="002229D5"/>
    <w:rsid w:val="0022400D"/>
    <w:rsid w:val="00233542"/>
    <w:rsid w:val="00241DB1"/>
    <w:rsid w:val="002524AF"/>
    <w:rsid w:val="002746A9"/>
    <w:rsid w:val="00283ABD"/>
    <w:rsid w:val="00290399"/>
    <w:rsid w:val="002A1B67"/>
    <w:rsid w:val="002A79F8"/>
    <w:rsid w:val="002C2764"/>
    <w:rsid w:val="002D53F5"/>
    <w:rsid w:val="002D6654"/>
    <w:rsid w:val="002E0895"/>
    <w:rsid w:val="002E3618"/>
    <w:rsid w:val="002F2A14"/>
    <w:rsid w:val="002F2B72"/>
    <w:rsid w:val="00300369"/>
    <w:rsid w:val="003114D4"/>
    <w:rsid w:val="00314D0F"/>
    <w:rsid w:val="003246F6"/>
    <w:rsid w:val="003332E8"/>
    <w:rsid w:val="00340884"/>
    <w:rsid w:val="00374BB4"/>
    <w:rsid w:val="003769C3"/>
    <w:rsid w:val="003778D2"/>
    <w:rsid w:val="003B33B6"/>
    <w:rsid w:val="003D773B"/>
    <w:rsid w:val="003E16E2"/>
    <w:rsid w:val="003E19D5"/>
    <w:rsid w:val="003E2F4B"/>
    <w:rsid w:val="003F5590"/>
    <w:rsid w:val="003F5D18"/>
    <w:rsid w:val="004135BB"/>
    <w:rsid w:val="00420E50"/>
    <w:rsid w:val="004372B3"/>
    <w:rsid w:val="004378E0"/>
    <w:rsid w:val="004437F0"/>
    <w:rsid w:val="00451FC9"/>
    <w:rsid w:val="004557BD"/>
    <w:rsid w:val="00456DD5"/>
    <w:rsid w:val="00481EB5"/>
    <w:rsid w:val="00483BAF"/>
    <w:rsid w:val="004A079F"/>
    <w:rsid w:val="004B59EB"/>
    <w:rsid w:val="004C5EEB"/>
    <w:rsid w:val="004E1429"/>
    <w:rsid w:val="004E3DF6"/>
    <w:rsid w:val="004F69AC"/>
    <w:rsid w:val="00501945"/>
    <w:rsid w:val="00520CC4"/>
    <w:rsid w:val="00521B97"/>
    <w:rsid w:val="005274EB"/>
    <w:rsid w:val="005300D7"/>
    <w:rsid w:val="005407DF"/>
    <w:rsid w:val="005500BB"/>
    <w:rsid w:val="005501B4"/>
    <w:rsid w:val="00551108"/>
    <w:rsid w:val="005552AE"/>
    <w:rsid w:val="00575987"/>
    <w:rsid w:val="00592080"/>
    <w:rsid w:val="005A4055"/>
    <w:rsid w:val="005A4894"/>
    <w:rsid w:val="005D195F"/>
    <w:rsid w:val="005E2ACE"/>
    <w:rsid w:val="005E40AA"/>
    <w:rsid w:val="005E5ECD"/>
    <w:rsid w:val="005F2F10"/>
    <w:rsid w:val="00686E77"/>
    <w:rsid w:val="006A7EC8"/>
    <w:rsid w:val="006B0D4D"/>
    <w:rsid w:val="006B5F2C"/>
    <w:rsid w:val="006C4E15"/>
    <w:rsid w:val="006E161F"/>
    <w:rsid w:val="006E2E10"/>
    <w:rsid w:val="006E5B14"/>
    <w:rsid w:val="006F26C0"/>
    <w:rsid w:val="00711C8D"/>
    <w:rsid w:val="007129BE"/>
    <w:rsid w:val="00713F1F"/>
    <w:rsid w:val="0072720A"/>
    <w:rsid w:val="007278C3"/>
    <w:rsid w:val="00727936"/>
    <w:rsid w:val="0078119B"/>
    <w:rsid w:val="007857F8"/>
    <w:rsid w:val="007A2C93"/>
    <w:rsid w:val="007A669D"/>
    <w:rsid w:val="007B1C1F"/>
    <w:rsid w:val="007B333D"/>
    <w:rsid w:val="007C200F"/>
    <w:rsid w:val="007D51A8"/>
    <w:rsid w:val="007E0082"/>
    <w:rsid w:val="007F3F1F"/>
    <w:rsid w:val="007F6480"/>
    <w:rsid w:val="008012A2"/>
    <w:rsid w:val="008019A5"/>
    <w:rsid w:val="00803ABD"/>
    <w:rsid w:val="0080711A"/>
    <w:rsid w:val="00811039"/>
    <w:rsid w:val="00814185"/>
    <w:rsid w:val="00823B14"/>
    <w:rsid w:val="0083348C"/>
    <w:rsid w:val="00844FBC"/>
    <w:rsid w:val="008635DF"/>
    <w:rsid w:val="00863871"/>
    <w:rsid w:val="00885D18"/>
    <w:rsid w:val="008B16F2"/>
    <w:rsid w:val="008C2A04"/>
    <w:rsid w:val="008F1A6A"/>
    <w:rsid w:val="00900972"/>
    <w:rsid w:val="00904D3F"/>
    <w:rsid w:val="00916F75"/>
    <w:rsid w:val="00921DEE"/>
    <w:rsid w:val="00923F88"/>
    <w:rsid w:val="009423E0"/>
    <w:rsid w:val="00951409"/>
    <w:rsid w:val="0096463E"/>
    <w:rsid w:val="00967301"/>
    <w:rsid w:val="00992554"/>
    <w:rsid w:val="009C4AA1"/>
    <w:rsid w:val="009F0C95"/>
    <w:rsid w:val="00A04D07"/>
    <w:rsid w:val="00A117DC"/>
    <w:rsid w:val="00A24ADA"/>
    <w:rsid w:val="00A427A2"/>
    <w:rsid w:val="00A44904"/>
    <w:rsid w:val="00A508F8"/>
    <w:rsid w:val="00A572EB"/>
    <w:rsid w:val="00A604DC"/>
    <w:rsid w:val="00A73937"/>
    <w:rsid w:val="00A93F03"/>
    <w:rsid w:val="00A94724"/>
    <w:rsid w:val="00AA5612"/>
    <w:rsid w:val="00AB0A27"/>
    <w:rsid w:val="00AB1CA7"/>
    <w:rsid w:val="00AB2C9B"/>
    <w:rsid w:val="00AC7D01"/>
    <w:rsid w:val="00AD140A"/>
    <w:rsid w:val="00B14CC3"/>
    <w:rsid w:val="00B155AE"/>
    <w:rsid w:val="00B31DBE"/>
    <w:rsid w:val="00B479C0"/>
    <w:rsid w:val="00B7054B"/>
    <w:rsid w:val="00B72E3B"/>
    <w:rsid w:val="00B747F3"/>
    <w:rsid w:val="00B7633E"/>
    <w:rsid w:val="00B91217"/>
    <w:rsid w:val="00B92317"/>
    <w:rsid w:val="00BB6074"/>
    <w:rsid w:val="00BB7102"/>
    <w:rsid w:val="00BC09A2"/>
    <w:rsid w:val="00BC12CA"/>
    <w:rsid w:val="00BE55C2"/>
    <w:rsid w:val="00BF48D3"/>
    <w:rsid w:val="00C14B5B"/>
    <w:rsid w:val="00C22855"/>
    <w:rsid w:val="00C30EA2"/>
    <w:rsid w:val="00C31FBF"/>
    <w:rsid w:val="00C36733"/>
    <w:rsid w:val="00C50EA6"/>
    <w:rsid w:val="00C639F1"/>
    <w:rsid w:val="00C7426B"/>
    <w:rsid w:val="00C90F18"/>
    <w:rsid w:val="00C948B5"/>
    <w:rsid w:val="00CA0D60"/>
    <w:rsid w:val="00CA1174"/>
    <w:rsid w:val="00CC49F1"/>
    <w:rsid w:val="00CC5E2D"/>
    <w:rsid w:val="00CD2660"/>
    <w:rsid w:val="00CD44AA"/>
    <w:rsid w:val="00CE111D"/>
    <w:rsid w:val="00CE2DA3"/>
    <w:rsid w:val="00CE5093"/>
    <w:rsid w:val="00D0166C"/>
    <w:rsid w:val="00D052FB"/>
    <w:rsid w:val="00D12016"/>
    <w:rsid w:val="00D12A33"/>
    <w:rsid w:val="00D27002"/>
    <w:rsid w:val="00D405CE"/>
    <w:rsid w:val="00D554B9"/>
    <w:rsid w:val="00D554DF"/>
    <w:rsid w:val="00D678A4"/>
    <w:rsid w:val="00D9705F"/>
    <w:rsid w:val="00DA254A"/>
    <w:rsid w:val="00DB5AF9"/>
    <w:rsid w:val="00DB6B64"/>
    <w:rsid w:val="00E0568C"/>
    <w:rsid w:val="00E079AB"/>
    <w:rsid w:val="00E07DE2"/>
    <w:rsid w:val="00E43A1E"/>
    <w:rsid w:val="00E62E56"/>
    <w:rsid w:val="00E63EF9"/>
    <w:rsid w:val="00E85A2C"/>
    <w:rsid w:val="00E85FD0"/>
    <w:rsid w:val="00E911CE"/>
    <w:rsid w:val="00EA407B"/>
    <w:rsid w:val="00EA5A1A"/>
    <w:rsid w:val="00EA6FD8"/>
    <w:rsid w:val="00EC49F6"/>
    <w:rsid w:val="00ED2143"/>
    <w:rsid w:val="00F207EF"/>
    <w:rsid w:val="00F33143"/>
    <w:rsid w:val="00F62EE7"/>
    <w:rsid w:val="00F71F1D"/>
    <w:rsid w:val="00F762F3"/>
    <w:rsid w:val="00F87174"/>
    <w:rsid w:val="00F943FC"/>
    <w:rsid w:val="00FA441A"/>
    <w:rsid w:val="00FA79E3"/>
    <w:rsid w:val="00FB063A"/>
    <w:rsid w:val="00FB7779"/>
    <w:rsid w:val="00FC12B1"/>
    <w:rsid w:val="00FD25F3"/>
    <w:rsid w:val="00FE0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574DC"/>
  <w15:chartTrackingRefBased/>
  <w15:docId w15:val="{F4E18837-ACBE-43E0-9804-257C49AB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3B14"/>
    <w:pPr>
      <w:spacing w:after="200"/>
    </w:pPr>
    <w:rPr>
      <w:sz w:val="24"/>
      <w:szCs w:val="24"/>
      <w:lang w:val="en-GB" w:eastAsia="en-US"/>
    </w:rPr>
  </w:style>
  <w:style w:type="paragraph" w:styleId="berschrift1">
    <w:name w:val="heading 1"/>
    <w:basedOn w:val="Standard"/>
    <w:next w:val="Standard"/>
    <w:link w:val="berschrift1Zchn"/>
    <w:uiPriority w:val="9"/>
    <w:qFormat/>
    <w:rsid w:val="002746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E62E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BD2124"/>
    <w:pPr>
      <w:tabs>
        <w:tab w:val="center" w:pos="4536"/>
        <w:tab w:val="right" w:pos="9072"/>
      </w:tabs>
      <w:spacing w:after="0"/>
    </w:pPr>
  </w:style>
  <w:style w:type="character" w:customStyle="1" w:styleId="KopfzeileZchn">
    <w:name w:val="Kopfzeile Zchn"/>
    <w:link w:val="Kopfzeile"/>
    <w:uiPriority w:val="99"/>
    <w:semiHidden/>
    <w:rsid w:val="00BD2124"/>
    <w:rPr>
      <w:lang w:val="en-GB"/>
    </w:rPr>
  </w:style>
  <w:style w:type="paragraph" w:styleId="Fuzeile">
    <w:name w:val="footer"/>
    <w:basedOn w:val="Standard"/>
    <w:link w:val="FuzeileZchn"/>
    <w:uiPriority w:val="99"/>
    <w:semiHidden/>
    <w:unhideWhenUsed/>
    <w:rsid w:val="00BD2124"/>
    <w:pPr>
      <w:tabs>
        <w:tab w:val="center" w:pos="4536"/>
        <w:tab w:val="right" w:pos="9072"/>
      </w:tabs>
      <w:spacing w:after="0"/>
    </w:pPr>
  </w:style>
  <w:style w:type="character" w:customStyle="1" w:styleId="FuzeileZchn">
    <w:name w:val="Fußzeile Zchn"/>
    <w:link w:val="Fuzeile"/>
    <w:uiPriority w:val="99"/>
    <w:semiHidden/>
    <w:rsid w:val="00BD2124"/>
    <w:rPr>
      <w:lang w:val="en-GB"/>
    </w:rPr>
  </w:style>
  <w:style w:type="character" w:styleId="Hyperlink">
    <w:name w:val="Hyperlink"/>
    <w:basedOn w:val="Absatz-Standardschriftart"/>
    <w:uiPriority w:val="99"/>
    <w:unhideWhenUsed/>
    <w:rsid w:val="0022400D"/>
    <w:rPr>
      <w:color w:val="0563C1" w:themeColor="hyperlink"/>
      <w:u w:val="single"/>
    </w:rPr>
  </w:style>
  <w:style w:type="character" w:styleId="NichtaufgelsteErwhnung">
    <w:name w:val="Unresolved Mention"/>
    <w:basedOn w:val="Absatz-Standardschriftart"/>
    <w:uiPriority w:val="99"/>
    <w:semiHidden/>
    <w:unhideWhenUsed/>
    <w:rsid w:val="0022400D"/>
    <w:rPr>
      <w:color w:val="605E5C"/>
      <w:shd w:val="clear" w:color="auto" w:fill="E1DFDD"/>
    </w:rPr>
  </w:style>
  <w:style w:type="character" w:customStyle="1" w:styleId="berschrift1Zchn">
    <w:name w:val="Überschrift 1 Zchn"/>
    <w:basedOn w:val="Absatz-Standardschriftart"/>
    <w:link w:val="berschrift1"/>
    <w:uiPriority w:val="9"/>
    <w:rsid w:val="002746A9"/>
    <w:rPr>
      <w:rFonts w:asciiTheme="majorHAnsi" w:eastAsiaTheme="majorEastAsia" w:hAnsiTheme="majorHAnsi" w:cstheme="majorBidi"/>
      <w:color w:val="2F5496" w:themeColor="accent1" w:themeShade="BF"/>
      <w:sz w:val="32"/>
      <w:szCs w:val="32"/>
      <w:lang w:val="en-GB" w:eastAsia="en-US"/>
    </w:rPr>
  </w:style>
  <w:style w:type="paragraph" w:styleId="KeinLeerraum">
    <w:name w:val="No Spacing"/>
    <w:uiPriority w:val="1"/>
    <w:qFormat/>
    <w:rsid w:val="005A4055"/>
    <w:rPr>
      <w:sz w:val="24"/>
      <w:szCs w:val="24"/>
      <w:lang w:val="en-GB" w:eastAsia="en-US"/>
    </w:rPr>
  </w:style>
  <w:style w:type="character" w:customStyle="1" w:styleId="berschrift2Zchn">
    <w:name w:val="Überschrift 2 Zchn"/>
    <w:basedOn w:val="Absatz-Standardschriftart"/>
    <w:link w:val="berschrift2"/>
    <w:uiPriority w:val="9"/>
    <w:semiHidden/>
    <w:rsid w:val="00E62E56"/>
    <w:rPr>
      <w:rFonts w:asciiTheme="majorHAnsi" w:eastAsiaTheme="majorEastAsia" w:hAnsiTheme="majorHAnsi" w:cstheme="majorBidi"/>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3195">
      <w:bodyDiv w:val="1"/>
      <w:marLeft w:val="0"/>
      <w:marRight w:val="0"/>
      <w:marTop w:val="0"/>
      <w:marBottom w:val="0"/>
      <w:divBdr>
        <w:top w:val="none" w:sz="0" w:space="0" w:color="auto"/>
        <w:left w:val="none" w:sz="0" w:space="0" w:color="auto"/>
        <w:bottom w:val="none" w:sz="0" w:space="0" w:color="auto"/>
        <w:right w:val="none" w:sz="0" w:space="0" w:color="auto"/>
      </w:divBdr>
    </w:div>
    <w:div w:id="627053518">
      <w:bodyDiv w:val="1"/>
      <w:marLeft w:val="0"/>
      <w:marRight w:val="0"/>
      <w:marTop w:val="0"/>
      <w:marBottom w:val="0"/>
      <w:divBdr>
        <w:top w:val="none" w:sz="0" w:space="0" w:color="auto"/>
        <w:left w:val="none" w:sz="0" w:space="0" w:color="auto"/>
        <w:bottom w:val="none" w:sz="0" w:space="0" w:color="auto"/>
        <w:right w:val="none" w:sz="0" w:space="0" w:color="auto"/>
      </w:divBdr>
    </w:div>
    <w:div w:id="642320577">
      <w:bodyDiv w:val="1"/>
      <w:marLeft w:val="0"/>
      <w:marRight w:val="0"/>
      <w:marTop w:val="0"/>
      <w:marBottom w:val="0"/>
      <w:divBdr>
        <w:top w:val="none" w:sz="0" w:space="0" w:color="auto"/>
        <w:left w:val="none" w:sz="0" w:space="0" w:color="auto"/>
        <w:bottom w:val="none" w:sz="0" w:space="0" w:color="auto"/>
        <w:right w:val="none" w:sz="0" w:space="0" w:color="auto"/>
      </w:divBdr>
    </w:div>
    <w:div w:id="1160929490">
      <w:bodyDiv w:val="1"/>
      <w:marLeft w:val="0"/>
      <w:marRight w:val="0"/>
      <w:marTop w:val="0"/>
      <w:marBottom w:val="0"/>
      <w:divBdr>
        <w:top w:val="none" w:sz="0" w:space="0" w:color="auto"/>
        <w:left w:val="none" w:sz="0" w:space="0" w:color="auto"/>
        <w:bottom w:val="none" w:sz="0" w:space="0" w:color="auto"/>
        <w:right w:val="none" w:sz="0" w:space="0" w:color="auto"/>
      </w:divBdr>
    </w:div>
    <w:div w:id="1172375719">
      <w:bodyDiv w:val="1"/>
      <w:marLeft w:val="0"/>
      <w:marRight w:val="0"/>
      <w:marTop w:val="0"/>
      <w:marBottom w:val="0"/>
      <w:divBdr>
        <w:top w:val="none" w:sz="0" w:space="0" w:color="auto"/>
        <w:left w:val="none" w:sz="0" w:space="0" w:color="auto"/>
        <w:bottom w:val="none" w:sz="0" w:space="0" w:color="auto"/>
        <w:right w:val="none" w:sz="0" w:space="0" w:color="auto"/>
      </w:divBdr>
    </w:div>
    <w:div w:id="1360231650">
      <w:bodyDiv w:val="1"/>
      <w:marLeft w:val="0"/>
      <w:marRight w:val="0"/>
      <w:marTop w:val="0"/>
      <w:marBottom w:val="0"/>
      <w:divBdr>
        <w:top w:val="none" w:sz="0" w:space="0" w:color="auto"/>
        <w:left w:val="none" w:sz="0" w:space="0" w:color="auto"/>
        <w:bottom w:val="none" w:sz="0" w:space="0" w:color="auto"/>
        <w:right w:val="none" w:sz="0" w:space="0" w:color="auto"/>
      </w:divBdr>
    </w:div>
    <w:div w:id="1554806923">
      <w:bodyDiv w:val="1"/>
      <w:marLeft w:val="0"/>
      <w:marRight w:val="0"/>
      <w:marTop w:val="0"/>
      <w:marBottom w:val="0"/>
      <w:divBdr>
        <w:top w:val="none" w:sz="0" w:space="0" w:color="auto"/>
        <w:left w:val="none" w:sz="0" w:space="0" w:color="auto"/>
        <w:bottom w:val="none" w:sz="0" w:space="0" w:color="auto"/>
        <w:right w:val="none" w:sz="0" w:space="0" w:color="auto"/>
      </w:divBdr>
    </w:div>
    <w:div w:id="203418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effert%20Recruiter\Templates\Brief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Briefvorlage</Template>
  <TotalTime>0</TotalTime>
  <Pages>1</Pages>
  <Words>513</Words>
  <Characters>3233</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B2 Communications</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PBConsult</dc:creator>
  <cp:keywords/>
  <cp:lastModifiedBy>Info - PB Consult Personalberatung</cp:lastModifiedBy>
  <cp:revision>4</cp:revision>
  <cp:lastPrinted>2023-08-13T06:11:00Z</cp:lastPrinted>
  <dcterms:created xsi:type="dcterms:W3CDTF">2026-07-27T10:30:00Z</dcterms:created>
  <dcterms:modified xsi:type="dcterms:W3CDTF">2026-07-27T10:33:00Z</dcterms:modified>
</cp:coreProperties>
</file>